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8664" w14:textId="77777777" w:rsidR="00975541" w:rsidRPr="00EE482B" w:rsidRDefault="00242BEB">
      <w:pPr>
        <w:pStyle w:val="berschrift4"/>
        <w:pBdr>
          <w:top w:val="none" w:sz="4" w:space="0" w:color="000000"/>
          <w:left w:val="none" w:sz="4" w:space="0" w:color="000000"/>
          <w:bottom w:val="none" w:sz="4" w:space="0" w:color="000000"/>
          <w:right w:val="none" w:sz="4" w:space="0" w:color="000000"/>
        </w:pBdr>
        <w:spacing w:before="40" w:after="0"/>
        <w:rPr>
          <w:rFonts w:ascii="Times" w:hAnsi="Times"/>
          <w:sz w:val="32"/>
          <w:szCs w:val="32"/>
        </w:rPr>
      </w:pPr>
      <w:r w:rsidRPr="00EE482B">
        <w:rPr>
          <w:rFonts w:ascii="Times" w:eastAsia="Verdana" w:hAnsi="Times" w:cs="Verdana"/>
          <w:color w:val="000000"/>
          <w:sz w:val="32"/>
          <w:szCs w:val="32"/>
        </w:rPr>
        <w:t>Steuern – kommt das Finanzamt im Doppelpack?</w:t>
      </w:r>
    </w:p>
    <w:p w14:paraId="404D8810" w14:textId="77777777" w:rsidR="00975541" w:rsidRPr="00EE482B" w:rsidRDefault="00242BEB">
      <w:pPr>
        <w:pBdr>
          <w:top w:val="none" w:sz="4" w:space="0" w:color="000000"/>
          <w:left w:val="none" w:sz="4" w:space="0" w:color="000000"/>
          <w:bottom w:val="none" w:sz="4" w:space="0" w:color="000000"/>
          <w:right w:val="none" w:sz="4" w:space="0" w:color="000000"/>
        </w:pBdr>
        <w:spacing w:before="240" w:after="240"/>
        <w:rPr>
          <w:rFonts w:ascii="Times" w:hAnsi="Times"/>
          <w:sz w:val="24"/>
          <w:szCs w:val="24"/>
        </w:rPr>
      </w:pPr>
      <w:r w:rsidRPr="00EE482B">
        <w:rPr>
          <w:rFonts w:ascii="Times" w:eastAsia="Verdana" w:hAnsi="Times" w:cs="Verdana"/>
          <w:color w:val="000000"/>
          <w:sz w:val="24"/>
          <w:szCs w:val="24"/>
        </w:rPr>
        <w:t>Wer zwischen zwei EU-Ländern pendelt, bewegt sich zwischen zwei Steuersystemen. Steuererhebungen sind hoheitliche Aufgaben der Mitgliedstaaten. Sie haben sich historisch sehr unterschiedlich entwickelt und verändern sich ständig weiter. Das Thema Steuern i</w:t>
      </w:r>
      <w:r w:rsidRPr="00EE482B">
        <w:rPr>
          <w:rFonts w:ascii="Times" w:eastAsia="Verdana" w:hAnsi="Times" w:cs="Verdana"/>
          <w:color w:val="000000"/>
          <w:sz w:val="24"/>
          <w:szCs w:val="24"/>
        </w:rPr>
        <w:t>st für viele Menschen ohnehin schwer zu durchschauen und zu handhaben. Die Aussicht, durch einen Job über die Grenze auch noch zum Sonderfall für das Finanzamt zu werden, kann Menschen durchaus davon abhalten, zum Grenzpendler zu werden.</w:t>
      </w:r>
      <w:r w:rsidRPr="00EE482B">
        <w:rPr>
          <w:rFonts w:ascii="Times" w:eastAsia="Verdana" w:hAnsi="Times" w:cs="Verdana"/>
          <w:color w:val="000000"/>
          <w:sz w:val="24"/>
          <w:szCs w:val="24"/>
        </w:rPr>
        <w:br/>
      </w:r>
      <w:r w:rsidRPr="00EE482B">
        <w:rPr>
          <w:rFonts w:ascii="Times" w:eastAsia="Verdana" w:hAnsi="Times" w:cs="Verdana"/>
          <w:color w:val="000000"/>
          <w:sz w:val="24"/>
          <w:szCs w:val="24"/>
        </w:rPr>
        <w:br/>
        <w:t>Grundsätzlich gil</w:t>
      </w:r>
      <w:r w:rsidRPr="00EE482B">
        <w:rPr>
          <w:rFonts w:ascii="Times" w:eastAsia="Verdana" w:hAnsi="Times" w:cs="Verdana"/>
          <w:color w:val="000000"/>
          <w:sz w:val="24"/>
          <w:szCs w:val="24"/>
        </w:rPr>
        <w:t>t beim Thema Steuern das Tätigkeitsland-Prinzip. Wo man sein Geld verdient, zahlt man auch die Steuern. Aus Sicht der Staaten ist das so lange in Ordnung, wie die Pendlerströme in beide Richtungen ausgeglichen sind. Schwierig wird es, wenn die Bewegung asy</w:t>
      </w:r>
      <w:r w:rsidRPr="00EE482B">
        <w:rPr>
          <w:rFonts w:ascii="Times" w:eastAsia="Verdana" w:hAnsi="Times" w:cs="Verdana"/>
          <w:color w:val="000000"/>
          <w:sz w:val="24"/>
          <w:szCs w:val="24"/>
        </w:rPr>
        <w:t>mmetrisch wird. Ziehen zum Beispiel viele Familien ein paar Straßen oder Dörfer weiter über die Grenze, weil dort Bauland billiger ist, trägt der Wohnsitzstaat mehr Aufwendungen z. B. für Kindergärten, denen keine steuerlichen Einnahmen gegenüberstehen. Di</w:t>
      </w:r>
      <w:r w:rsidRPr="00EE482B">
        <w:rPr>
          <w:rFonts w:ascii="Times" w:eastAsia="Verdana" w:hAnsi="Times" w:cs="Verdana"/>
          <w:color w:val="000000"/>
          <w:sz w:val="24"/>
          <w:szCs w:val="24"/>
        </w:rPr>
        <w:t>e Antwort hierauf sind bilaterale Ausgleichszahlungen.</w:t>
      </w:r>
      <w:r w:rsidRPr="00EE482B">
        <w:rPr>
          <w:rFonts w:ascii="Times" w:eastAsia="Verdana" w:hAnsi="Times" w:cs="Verdana"/>
          <w:color w:val="000000"/>
          <w:sz w:val="24"/>
          <w:szCs w:val="24"/>
        </w:rPr>
        <w:br/>
      </w:r>
      <w:r w:rsidRPr="00EE482B">
        <w:rPr>
          <w:rFonts w:ascii="Times" w:eastAsia="Verdana" w:hAnsi="Times" w:cs="Verdana"/>
          <w:color w:val="000000"/>
          <w:sz w:val="24"/>
          <w:szCs w:val="24"/>
        </w:rPr>
        <w:br/>
        <w:t>Zwischen der Bundesrepublik und den Niederlanden gibt es seit 1959 ein Doppelbesteuerungsabkommen. Es regelt, ab wann und unter welchen Bedingungen Lohn- und Einkommenssteuer an welchen Staat abzuführ</w:t>
      </w:r>
      <w:r w:rsidRPr="00EE482B">
        <w:rPr>
          <w:rFonts w:ascii="Times" w:eastAsia="Verdana" w:hAnsi="Times" w:cs="Verdana"/>
          <w:color w:val="000000"/>
          <w:sz w:val="24"/>
          <w:szCs w:val="24"/>
        </w:rPr>
        <w:t>en sind. Damit wird ein großer Teil der Schwierigkeiten abgefedert. Es löst jedoch nicht alle Probleme der Grenzpendler: Permanent tauchen in Einzelfällen zum Teil gravierende Benachteiligungen auf. So entmutigen letztlich nationale Steuerbestimmungen EU-B</w:t>
      </w:r>
      <w:r w:rsidRPr="00EE482B">
        <w:rPr>
          <w:rFonts w:ascii="Times" w:eastAsia="Verdana" w:hAnsi="Times" w:cs="Verdana"/>
          <w:color w:val="000000"/>
          <w:sz w:val="24"/>
          <w:szCs w:val="24"/>
        </w:rPr>
        <w:t>ürger, von der Freizügigkeit Gebrauch zu machen.</w:t>
      </w:r>
      <w:r w:rsidRPr="00EE482B">
        <w:rPr>
          <w:rFonts w:ascii="Times" w:eastAsia="Verdana" w:hAnsi="Times" w:cs="Verdana"/>
          <w:color w:val="000000"/>
          <w:sz w:val="24"/>
          <w:szCs w:val="24"/>
        </w:rPr>
        <w:br/>
      </w:r>
      <w:r w:rsidRPr="00EE482B">
        <w:rPr>
          <w:rFonts w:ascii="Times" w:eastAsia="Verdana" w:hAnsi="Times" w:cs="Verdana"/>
          <w:color w:val="000000"/>
          <w:sz w:val="24"/>
          <w:szCs w:val="24"/>
        </w:rPr>
        <w:br/>
        <w:t>Im Grunde ist jeder Steuerzahler ein Einzelfall, weil extrem viele Komponenten seinen genauen Status bestimmen: Arbeitet er als Arbeitnehmer oder Selbständiger? Ist er dauerhaft im Nachbarland angestellt od</w:t>
      </w:r>
      <w:r w:rsidRPr="00EE482B">
        <w:rPr>
          <w:rFonts w:ascii="Times" w:eastAsia="Verdana" w:hAnsi="Times" w:cs="Verdana"/>
          <w:color w:val="000000"/>
          <w:sz w:val="24"/>
          <w:szCs w:val="24"/>
        </w:rPr>
        <w:t>er nur entsandt? Hat die Firma einen Sitz im Arbeitsland?... Doch einige Schwierigkeiten treten besonders häufig auf. So betrachtet das deutsche Steuerrecht im Ausland lebende und dort einen bestimmten Teil ihres Einkommens verdienende Grenzpendler als „St</w:t>
      </w:r>
      <w:r w:rsidRPr="00EE482B">
        <w:rPr>
          <w:rFonts w:ascii="Times" w:eastAsia="Verdana" w:hAnsi="Times" w:cs="Verdana"/>
          <w:color w:val="000000"/>
          <w:sz w:val="24"/>
          <w:szCs w:val="24"/>
        </w:rPr>
        <w:t>euerausländer“. Sie sind nur beschränkt steuerpflichtig und dadurch von steuerlichen Vergünstigungen wie dem Ehegattensplitting ausgeschlossen.</w:t>
      </w:r>
      <w:r w:rsidRPr="00EE482B">
        <w:rPr>
          <w:rFonts w:ascii="Times" w:eastAsia="Verdana" w:hAnsi="Times" w:cs="Verdana"/>
          <w:color w:val="000000"/>
          <w:sz w:val="24"/>
          <w:szCs w:val="24"/>
        </w:rPr>
        <w:br/>
      </w:r>
      <w:r w:rsidRPr="00EE482B">
        <w:rPr>
          <w:rFonts w:ascii="Times" w:eastAsia="Verdana" w:hAnsi="Times" w:cs="Verdana"/>
          <w:color w:val="000000"/>
          <w:sz w:val="24"/>
          <w:szCs w:val="24"/>
        </w:rPr>
        <w:br/>
        <w:t>Für Grundsatzfragen halten die deutschen und niederländischen Finanzbehörden allerdings diverse Broschüren bere</w:t>
      </w:r>
      <w:r w:rsidRPr="00EE482B">
        <w:rPr>
          <w:rFonts w:ascii="Times" w:eastAsia="Verdana" w:hAnsi="Times" w:cs="Verdana"/>
          <w:color w:val="000000"/>
          <w:sz w:val="24"/>
          <w:szCs w:val="24"/>
        </w:rPr>
        <w:t>it. </w:t>
      </w:r>
    </w:p>
    <w:p w14:paraId="7969B091" w14:textId="77777777" w:rsidR="00975541" w:rsidRPr="00EE482B" w:rsidRDefault="00242BEB">
      <w:pPr>
        <w:pStyle w:val="berschrift4"/>
        <w:pBdr>
          <w:top w:val="none" w:sz="4" w:space="0" w:color="000000"/>
          <w:left w:val="none" w:sz="4" w:space="0" w:color="000000"/>
          <w:bottom w:val="none" w:sz="4" w:space="0" w:color="000000"/>
          <w:right w:val="none" w:sz="4" w:space="0" w:color="000000"/>
        </w:pBdr>
        <w:spacing w:before="40" w:after="0"/>
        <w:rPr>
          <w:rFonts w:ascii="Times" w:hAnsi="Times"/>
          <w:sz w:val="24"/>
          <w:szCs w:val="24"/>
        </w:rPr>
      </w:pPr>
      <w:r w:rsidRPr="00EE482B">
        <w:rPr>
          <w:rFonts w:ascii="Times" w:eastAsia="Verdana" w:hAnsi="Times" w:cs="Verdana"/>
          <w:color w:val="000000"/>
          <w:sz w:val="24"/>
          <w:szCs w:val="24"/>
        </w:rPr>
        <w:t>Rechtliche Stolpersteine – Lücken zwischen den nationalen Sozialsystemen</w:t>
      </w:r>
    </w:p>
    <w:p w14:paraId="66A793F3" w14:textId="77777777" w:rsidR="00975541" w:rsidRPr="00EE482B" w:rsidRDefault="00242BEB">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EE482B">
        <w:rPr>
          <w:rFonts w:ascii="Times" w:eastAsia="Verdana" w:hAnsi="Times" w:cs="Verdana"/>
          <w:color w:val="000000"/>
          <w:sz w:val="24"/>
          <w:szCs w:val="24"/>
        </w:rPr>
        <w:t>Betrachtet man das Thema Sozialversicherungen, präsentiert sich Europa als Flickenteppich. Genau wie im Steuerrecht hat jedes Land sein eigenes, historisch gewachsenes System. Da</w:t>
      </w:r>
      <w:r w:rsidRPr="00EE482B">
        <w:rPr>
          <w:rFonts w:ascii="Times" w:eastAsia="Verdana" w:hAnsi="Times" w:cs="Verdana"/>
          <w:color w:val="000000"/>
          <w:sz w:val="24"/>
          <w:szCs w:val="24"/>
        </w:rPr>
        <w:t xml:space="preserve">s zusammenwachsende Europa will hieran bisher nicht rühren. Harmonisierung ist nicht vorgesehen. Stattdessen lautet die Formel in der EU: Koordinierung. Zentrales Instrument ist </w:t>
      </w:r>
      <w:r w:rsidRPr="00EE482B">
        <w:rPr>
          <w:rFonts w:ascii="Times" w:eastAsia="Verdana" w:hAnsi="Times" w:cs="Verdana"/>
          <w:color w:val="000000"/>
          <w:sz w:val="24"/>
          <w:szCs w:val="24"/>
        </w:rPr>
        <w:lastRenderedPageBreak/>
        <w:t>die Verordnung (EG) Nr. 883/2004 des europäischen Parlaments und des Rates übe</w:t>
      </w:r>
      <w:r w:rsidRPr="00EE482B">
        <w:rPr>
          <w:rFonts w:ascii="Times" w:eastAsia="Verdana" w:hAnsi="Times" w:cs="Verdana"/>
          <w:color w:val="000000"/>
          <w:sz w:val="24"/>
          <w:szCs w:val="24"/>
        </w:rPr>
        <w:t>r die Koordinierung der Systeme der sozialen Sicherheit. „Die Vorschriften zur Koordinierung der nationalen Systeme der sozialen Sicherheit sind Teil des freien Personenverkehrs und sollten zur Verbesserung des Lebensstandards und der Arbeitsbedingungen be</w:t>
      </w:r>
      <w:r w:rsidRPr="00EE482B">
        <w:rPr>
          <w:rFonts w:ascii="Times" w:eastAsia="Verdana" w:hAnsi="Times" w:cs="Verdana"/>
          <w:color w:val="000000"/>
          <w:sz w:val="24"/>
          <w:szCs w:val="24"/>
        </w:rPr>
        <w:t>itragen“, heißt es darin. Die Grundregel der Verordnung lautet, dass die Rechtsvorschriften über die soziale Sicherheit des Arbeitslandes Anwendung finden.</w:t>
      </w:r>
    </w:p>
    <w:p w14:paraId="45E3B30F" w14:textId="77777777" w:rsidR="00975541" w:rsidRPr="00EE482B" w:rsidRDefault="00242BEB">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EE482B">
        <w:rPr>
          <w:rFonts w:ascii="Times" w:eastAsia="Verdana" w:hAnsi="Times" w:cs="Verdana"/>
          <w:color w:val="000000"/>
          <w:sz w:val="24"/>
          <w:szCs w:val="24"/>
        </w:rPr>
        <w:t> </w:t>
      </w:r>
    </w:p>
    <w:p w14:paraId="4B5921DD" w14:textId="77777777" w:rsidR="00975541" w:rsidRPr="00EE482B" w:rsidRDefault="00242BEB">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EE482B">
        <w:rPr>
          <w:rFonts w:ascii="Times" w:eastAsia="Verdana" w:hAnsi="Times" w:cs="Verdana"/>
          <w:color w:val="000000"/>
          <w:sz w:val="24"/>
          <w:szCs w:val="24"/>
        </w:rPr>
        <w:t>Die mit Grenzgängerfragen befassten Institutionen haben permanent mit Fällen zu tun, die auf einer</w:t>
      </w:r>
      <w:r w:rsidRPr="00EE482B">
        <w:rPr>
          <w:rFonts w:ascii="Times" w:eastAsia="Verdana" w:hAnsi="Times" w:cs="Verdana"/>
          <w:color w:val="000000"/>
          <w:sz w:val="24"/>
          <w:szCs w:val="24"/>
        </w:rPr>
        <w:t xml:space="preserve"> Kollision der unterschiedlichen Systeme sozialer Sicherung beruhen. Grenzpendler bewegen sich im Spannungsfeld zwischen europäischem und nationalen Recht sowie zwischenstaatlichen Vereinbarungen. Symptomatisch sind die unterschiedlichen Bedingungen für be</w:t>
      </w:r>
      <w:r w:rsidRPr="00EE482B">
        <w:rPr>
          <w:rFonts w:ascii="Times" w:eastAsia="Verdana" w:hAnsi="Times" w:cs="Verdana"/>
          <w:color w:val="000000"/>
          <w:sz w:val="24"/>
          <w:szCs w:val="24"/>
        </w:rPr>
        <w:t>stimmte Leistungsgewährungen. Wann gelte ich als arbeitsunfähig? Wie berechnen Niederländer oder Deutsche die Versicherungszeiten für die Rente? Welche erworbenen Rechte kann ich mitnehmen, also in mein Wohnland „exportieren“, wenn ich kein Pendler mehr bi</w:t>
      </w:r>
      <w:r w:rsidRPr="00EE482B">
        <w:rPr>
          <w:rFonts w:ascii="Times" w:eastAsia="Verdana" w:hAnsi="Times" w:cs="Verdana"/>
          <w:color w:val="000000"/>
          <w:sz w:val="24"/>
          <w:szCs w:val="24"/>
        </w:rPr>
        <w:t>n? Gesetzeslücken und ungeklärte Rechtsituationen führen in vielen Fällen dazu, dass Grenzpendlern Leistungen vorenthalten werden, die sie ohne den Status des Pendlers zwischen zwei Staaten problemlos bekommen würden.</w:t>
      </w:r>
    </w:p>
    <w:sectPr w:rsidR="00975541" w:rsidRPr="00EE482B">
      <w:headerReference w:type="default" r:id="rId7"/>
      <w:footerReference w:type="default" r:id="rId8"/>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1172A" w14:textId="77777777" w:rsidR="00242BEB" w:rsidRDefault="00242BEB">
      <w:pPr>
        <w:spacing w:after="0" w:line="240" w:lineRule="auto"/>
      </w:pPr>
      <w:r>
        <w:separator/>
      </w:r>
    </w:p>
  </w:endnote>
  <w:endnote w:type="continuationSeparator" w:id="0">
    <w:p w14:paraId="6C7BAC5B" w14:textId="77777777" w:rsidR="00242BEB" w:rsidRDefault="00242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D441" w14:textId="77777777" w:rsidR="00975541" w:rsidRDefault="00242BEB">
    <w:pPr>
      <w:pStyle w:val="Fuzeile"/>
      <w:pBdr>
        <w:top w:val="single" w:sz="4" w:space="1" w:color="auto"/>
      </w:pBdr>
      <w:jc w:val="center"/>
    </w:pPr>
    <w:r>
      <w:rPr>
        <w:noProof/>
        <w:lang w:eastAsia="de-DE"/>
      </w:rPr>
      <mc:AlternateContent>
        <mc:Choice Requires="wpg">
          <w:drawing>
            <wp:inline distT="0" distB="0" distL="0" distR="0" wp14:anchorId="39CF1CE6" wp14:editId="59946B56">
              <wp:extent cx="811987" cy="460126"/>
              <wp:effectExtent l="0" t="0" r="762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813288" cy="46086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2" o:title=""/>
            </v:shape>
          </w:pict>
        </mc:Fallback>
      </mc:AlternateContent>
    </w:r>
    <w:r>
      <w:rPr>
        <w:noProof/>
        <w:lang w:eastAsia="de-DE"/>
      </w:rPr>
      <mc:AlternateContent>
        <mc:Choice Requires="wpg">
          <w:drawing>
            <wp:inline distT="0" distB="0" distL="0" distR="0" wp14:anchorId="2DE69C88" wp14:editId="030FE287">
              <wp:extent cx="914400" cy="51816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915864" cy="51899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4" o:title=""/>
            </v:shape>
          </w:pict>
        </mc:Fallback>
      </mc:AlternateContent>
    </w:r>
    <w:r>
      <w:rPr>
        <w:noProof/>
        <w:lang w:eastAsia="de-DE"/>
      </w:rPr>
      <mc:AlternateContent>
        <mc:Choice Requires="wpg">
          <w:drawing>
            <wp:inline distT="0" distB="0" distL="0" distR="0" wp14:anchorId="137215B6" wp14:editId="1AB7913B">
              <wp:extent cx="797357" cy="451836"/>
              <wp:effectExtent l="0" t="0" r="3175" b="571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a:stretch/>
                    </pic:blipFill>
                    <pic:spPr bwMode="auto">
                      <a:xfrm>
                        <a:off x="0" y="0"/>
                        <a:ext cx="798635" cy="45256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6"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633D" w14:textId="77777777" w:rsidR="00242BEB" w:rsidRDefault="00242BEB">
      <w:pPr>
        <w:spacing w:after="0" w:line="240" w:lineRule="auto"/>
      </w:pPr>
      <w:r>
        <w:separator/>
      </w:r>
    </w:p>
  </w:footnote>
  <w:footnote w:type="continuationSeparator" w:id="0">
    <w:p w14:paraId="3C96D9DC" w14:textId="77777777" w:rsidR="00242BEB" w:rsidRDefault="00242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CECA" w14:textId="77777777" w:rsidR="00975541" w:rsidRDefault="00242BEB">
    <w:pPr>
      <w:pStyle w:val="Kopfzeile"/>
      <w:pBdr>
        <w:bottom w:val="single" w:sz="4" w:space="1" w:color="auto"/>
      </w:pBdr>
      <w:tabs>
        <w:tab w:val="clear" w:pos="4536"/>
        <w:tab w:val="clear" w:pos="9072"/>
        <w:tab w:val="left" w:pos="3559"/>
      </w:tabs>
    </w:pPr>
    <w:r>
      <w:rPr>
        <w:noProof/>
        <w:lang w:eastAsia="de-DE"/>
      </w:rPr>
      <mc:AlternateContent>
        <mc:Choice Requires="wpg">
          <w:drawing>
            <wp:inline distT="0" distB="0" distL="0" distR="0" wp14:anchorId="7A124CF2" wp14:editId="2B1ECAFD">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1167634" cy="42990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2" o:title=""/>
            </v:shape>
          </w:pict>
        </mc:Fallback>
      </mc:AlternateContent>
    </w:r>
    <w:r>
      <w:t xml:space="preserve">         </w:t>
    </w:r>
    <w:r>
      <w:rPr>
        <w:noProof/>
        <w:lang w:eastAsia="de-DE"/>
      </w:rPr>
      <mc:AlternateContent>
        <mc:Choice Requires="wpg">
          <w:drawing>
            <wp:inline distT="0" distB="0" distL="0" distR="0" wp14:anchorId="575E151D" wp14:editId="4F5CE522">
              <wp:extent cx="3028950" cy="962025"/>
              <wp:effectExtent l="0" t="0" r="0" b="952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3028950" cy="9620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4" o:title=""/>
            </v:shape>
          </w:pict>
        </mc:Fallback>
      </mc:AlternateContent>
    </w:r>
  </w:p>
  <w:p w14:paraId="26FE1452" w14:textId="77777777" w:rsidR="00975541" w:rsidRDefault="00975541">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75B04"/>
    <w:multiLevelType w:val="hybridMultilevel"/>
    <w:tmpl w:val="F9503694"/>
    <w:lvl w:ilvl="0" w:tplc="4E544704">
      <w:start w:val="1"/>
      <w:numFmt w:val="bullet"/>
      <w:lvlText w:val="o"/>
      <w:lvlJc w:val="left"/>
      <w:pPr>
        <w:ind w:left="1068" w:hanging="360"/>
      </w:pPr>
      <w:rPr>
        <w:rFonts w:ascii="Courier New" w:hAnsi="Courier New" w:cs="Courier New" w:hint="default"/>
      </w:rPr>
    </w:lvl>
    <w:lvl w:ilvl="1" w:tplc="D262BB4C">
      <w:start w:val="1"/>
      <w:numFmt w:val="bullet"/>
      <w:lvlText w:val="o"/>
      <w:lvlJc w:val="left"/>
      <w:pPr>
        <w:ind w:left="1788" w:hanging="360"/>
      </w:pPr>
      <w:rPr>
        <w:rFonts w:ascii="Courier New" w:hAnsi="Courier New" w:cs="Courier New" w:hint="default"/>
      </w:rPr>
    </w:lvl>
    <w:lvl w:ilvl="2" w:tplc="FC8C33B2">
      <w:start w:val="1"/>
      <w:numFmt w:val="bullet"/>
      <w:lvlText w:val=""/>
      <w:lvlJc w:val="left"/>
      <w:pPr>
        <w:ind w:left="2508" w:hanging="360"/>
      </w:pPr>
      <w:rPr>
        <w:rFonts w:ascii="Wingdings" w:hAnsi="Wingdings" w:hint="default"/>
      </w:rPr>
    </w:lvl>
    <w:lvl w:ilvl="3" w:tplc="855452A0">
      <w:start w:val="1"/>
      <w:numFmt w:val="bullet"/>
      <w:lvlText w:val=""/>
      <w:lvlJc w:val="left"/>
      <w:pPr>
        <w:ind w:left="3228" w:hanging="360"/>
      </w:pPr>
      <w:rPr>
        <w:rFonts w:ascii="Symbol" w:hAnsi="Symbol" w:hint="default"/>
      </w:rPr>
    </w:lvl>
    <w:lvl w:ilvl="4" w:tplc="28F0F354">
      <w:start w:val="1"/>
      <w:numFmt w:val="bullet"/>
      <w:lvlText w:val="o"/>
      <w:lvlJc w:val="left"/>
      <w:pPr>
        <w:ind w:left="3948" w:hanging="360"/>
      </w:pPr>
      <w:rPr>
        <w:rFonts w:ascii="Courier New" w:hAnsi="Courier New" w:cs="Courier New" w:hint="default"/>
      </w:rPr>
    </w:lvl>
    <w:lvl w:ilvl="5" w:tplc="9930646E">
      <w:start w:val="1"/>
      <w:numFmt w:val="bullet"/>
      <w:lvlText w:val=""/>
      <w:lvlJc w:val="left"/>
      <w:pPr>
        <w:ind w:left="4668" w:hanging="360"/>
      </w:pPr>
      <w:rPr>
        <w:rFonts w:ascii="Wingdings" w:hAnsi="Wingdings" w:hint="default"/>
      </w:rPr>
    </w:lvl>
    <w:lvl w:ilvl="6" w:tplc="4DB81F2A">
      <w:start w:val="1"/>
      <w:numFmt w:val="bullet"/>
      <w:lvlText w:val=""/>
      <w:lvlJc w:val="left"/>
      <w:pPr>
        <w:ind w:left="5388" w:hanging="360"/>
      </w:pPr>
      <w:rPr>
        <w:rFonts w:ascii="Symbol" w:hAnsi="Symbol" w:hint="default"/>
      </w:rPr>
    </w:lvl>
    <w:lvl w:ilvl="7" w:tplc="02A27AE8">
      <w:start w:val="1"/>
      <w:numFmt w:val="bullet"/>
      <w:lvlText w:val="o"/>
      <w:lvlJc w:val="left"/>
      <w:pPr>
        <w:ind w:left="6108" w:hanging="360"/>
      </w:pPr>
      <w:rPr>
        <w:rFonts w:ascii="Courier New" w:hAnsi="Courier New" w:cs="Courier New" w:hint="default"/>
      </w:rPr>
    </w:lvl>
    <w:lvl w:ilvl="8" w:tplc="9CF86006">
      <w:start w:val="1"/>
      <w:numFmt w:val="bullet"/>
      <w:lvlText w:val=""/>
      <w:lvlJc w:val="left"/>
      <w:pPr>
        <w:ind w:left="6828" w:hanging="360"/>
      </w:pPr>
      <w:rPr>
        <w:rFonts w:ascii="Wingdings" w:hAnsi="Wingdings" w:hint="default"/>
      </w:rPr>
    </w:lvl>
  </w:abstractNum>
  <w:abstractNum w:abstractNumId="1" w15:restartNumberingAfterBreak="0">
    <w:nsid w:val="6B265AB9"/>
    <w:multiLevelType w:val="hybridMultilevel"/>
    <w:tmpl w:val="6AFA84F8"/>
    <w:lvl w:ilvl="0" w:tplc="876CBAFA">
      <w:start w:val="1"/>
      <w:numFmt w:val="bullet"/>
      <w:lvlText w:val="o"/>
      <w:lvlJc w:val="left"/>
      <w:pPr>
        <w:ind w:left="1440" w:hanging="360"/>
      </w:pPr>
      <w:rPr>
        <w:rFonts w:ascii="Courier New" w:hAnsi="Courier New" w:cs="Courier New" w:hint="default"/>
      </w:rPr>
    </w:lvl>
    <w:lvl w:ilvl="1" w:tplc="A522B4C4">
      <w:start w:val="1"/>
      <w:numFmt w:val="bullet"/>
      <w:lvlText w:val="–"/>
      <w:lvlJc w:val="left"/>
      <w:pPr>
        <w:ind w:left="2160" w:hanging="360"/>
      </w:pPr>
      <w:rPr>
        <w:rFonts w:ascii="Calibri" w:eastAsiaTheme="minorHAnsi" w:hAnsi="Calibri" w:cs="Calibri" w:hint="default"/>
      </w:rPr>
    </w:lvl>
    <w:lvl w:ilvl="2" w:tplc="5B460E5A">
      <w:start w:val="1"/>
      <w:numFmt w:val="bullet"/>
      <w:lvlText w:val=""/>
      <w:lvlJc w:val="left"/>
      <w:pPr>
        <w:ind w:left="2880" w:hanging="360"/>
      </w:pPr>
      <w:rPr>
        <w:rFonts w:ascii="Wingdings" w:hAnsi="Wingdings" w:hint="default"/>
      </w:rPr>
    </w:lvl>
    <w:lvl w:ilvl="3" w:tplc="D64A765C">
      <w:start w:val="1"/>
      <w:numFmt w:val="bullet"/>
      <w:lvlText w:val=""/>
      <w:lvlJc w:val="left"/>
      <w:pPr>
        <w:ind w:left="3600" w:hanging="360"/>
      </w:pPr>
      <w:rPr>
        <w:rFonts w:ascii="Symbol" w:hAnsi="Symbol" w:hint="default"/>
      </w:rPr>
    </w:lvl>
    <w:lvl w:ilvl="4" w:tplc="49302510">
      <w:start w:val="1"/>
      <w:numFmt w:val="bullet"/>
      <w:lvlText w:val="o"/>
      <w:lvlJc w:val="left"/>
      <w:pPr>
        <w:ind w:left="4320" w:hanging="360"/>
      </w:pPr>
      <w:rPr>
        <w:rFonts w:ascii="Courier New" w:hAnsi="Courier New" w:cs="Courier New" w:hint="default"/>
      </w:rPr>
    </w:lvl>
    <w:lvl w:ilvl="5" w:tplc="51F215B8">
      <w:start w:val="1"/>
      <w:numFmt w:val="bullet"/>
      <w:lvlText w:val=""/>
      <w:lvlJc w:val="left"/>
      <w:pPr>
        <w:ind w:left="5040" w:hanging="360"/>
      </w:pPr>
      <w:rPr>
        <w:rFonts w:ascii="Wingdings" w:hAnsi="Wingdings" w:hint="default"/>
      </w:rPr>
    </w:lvl>
    <w:lvl w:ilvl="6" w:tplc="B0564EB8">
      <w:start w:val="1"/>
      <w:numFmt w:val="bullet"/>
      <w:lvlText w:val=""/>
      <w:lvlJc w:val="left"/>
      <w:pPr>
        <w:ind w:left="5760" w:hanging="360"/>
      </w:pPr>
      <w:rPr>
        <w:rFonts w:ascii="Symbol" w:hAnsi="Symbol" w:hint="default"/>
      </w:rPr>
    </w:lvl>
    <w:lvl w:ilvl="7" w:tplc="5EF4365A">
      <w:start w:val="1"/>
      <w:numFmt w:val="bullet"/>
      <w:lvlText w:val="o"/>
      <w:lvlJc w:val="left"/>
      <w:pPr>
        <w:ind w:left="6480" w:hanging="360"/>
      </w:pPr>
      <w:rPr>
        <w:rFonts w:ascii="Courier New" w:hAnsi="Courier New" w:cs="Courier New" w:hint="default"/>
      </w:rPr>
    </w:lvl>
    <w:lvl w:ilvl="8" w:tplc="80EC4020">
      <w:start w:val="1"/>
      <w:numFmt w:val="bullet"/>
      <w:lvlText w:val=""/>
      <w:lvlJc w:val="left"/>
      <w:pPr>
        <w:ind w:left="7200" w:hanging="360"/>
      </w:pPr>
      <w:rPr>
        <w:rFonts w:ascii="Wingdings" w:hAnsi="Wingdings" w:hint="default"/>
      </w:rPr>
    </w:lvl>
  </w:abstractNum>
  <w:abstractNum w:abstractNumId="2" w15:restartNumberingAfterBreak="0">
    <w:nsid w:val="74F82C73"/>
    <w:multiLevelType w:val="hybridMultilevel"/>
    <w:tmpl w:val="045820E8"/>
    <w:lvl w:ilvl="0" w:tplc="BD5E5CEA">
      <w:start w:val="1"/>
      <w:numFmt w:val="decimal"/>
      <w:lvlText w:val="%1."/>
      <w:lvlJc w:val="left"/>
      <w:pPr>
        <w:ind w:left="720" w:hanging="360"/>
      </w:pPr>
    </w:lvl>
    <w:lvl w:ilvl="1" w:tplc="E22EC096">
      <w:start w:val="1"/>
      <w:numFmt w:val="lowerLetter"/>
      <w:lvlText w:val="%2."/>
      <w:lvlJc w:val="left"/>
      <w:pPr>
        <w:ind w:left="1440" w:hanging="360"/>
      </w:pPr>
    </w:lvl>
    <w:lvl w:ilvl="2" w:tplc="E17E4B1C">
      <w:start w:val="1"/>
      <w:numFmt w:val="lowerRoman"/>
      <w:lvlText w:val="%3."/>
      <w:lvlJc w:val="right"/>
      <w:pPr>
        <w:ind w:left="2160" w:hanging="180"/>
      </w:pPr>
    </w:lvl>
    <w:lvl w:ilvl="3" w:tplc="C1B84074">
      <w:start w:val="1"/>
      <w:numFmt w:val="decimal"/>
      <w:lvlText w:val="%4."/>
      <w:lvlJc w:val="left"/>
      <w:pPr>
        <w:ind w:left="2880" w:hanging="360"/>
      </w:pPr>
    </w:lvl>
    <w:lvl w:ilvl="4" w:tplc="04F2F3E0">
      <w:start w:val="1"/>
      <w:numFmt w:val="lowerLetter"/>
      <w:lvlText w:val="%5."/>
      <w:lvlJc w:val="left"/>
      <w:pPr>
        <w:ind w:left="3600" w:hanging="360"/>
      </w:pPr>
    </w:lvl>
    <w:lvl w:ilvl="5" w:tplc="8820C9FC">
      <w:start w:val="1"/>
      <w:numFmt w:val="lowerRoman"/>
      <w:lvlText w:val="%6."/>
      <w:lvlJc w:val="right"/>
      <w:pPr>
        <w:ind w:left="4320" w:hanging="180"/>
      </w:pPr>
    </w:lvl>
    <w:lvl w:ilvl="6" w:tplc="504AAC9C">
      <w:start w:val="1"/>
      <w:numFmt w:val="decimal"/>
      <w:lvlText w:val="%7."/>
      <w:lvlJc w:val="left"/>
      <w:pPr>
        <w:ind w:left="5040" w:hanging="360"/>
      </w:pPr>
    </w:lvl>
    <w:lvl w:ilvl="7" w:tplc="62FCB740">
      <w:start w:val="1"/>
      <w:numFmt w:val="lowerLetter"/>
      <w:lvlText w:val="%8."/>
      <w:lvlJc w:val="left"/>
      <w:pPr>
        <w:ind w:left="5760" w:hanging="360"/>
      </w:pPr>
    </w:lvl>
    <w:lvl w:ilvl="8" w:tplc="C66479F2">
      <w:start w:val="1"/>
      <w:numFmt w:val="lowerRoman"/>
      <w:lvlText w:val="%9."/>
      <w:lvlJc w:val="right"/>
      <w:pPr>
        <w:ind w:left="6480" w:hanging="180"/>
      </w:pPr>
    </w:lvl>
  </w:abstractNum>
  <w:abstractNum w:abstractNumId="3" w15:restartNumberingAfterBreak="0">
    <w:nsid w:val="76D776FE"/>
    <w:multiLevelType w:val="hybridMultilevel"/>
    <w:tmpl w:val="A03A3D96"/>
    <w:lvl w:ilvl="0" w:tplc="F86CE5D0">
      <w:start w:val="1"/>
      <w:numFmt w:val="decimal"/>
      <w:lvlText w:val="%1."/>
      <w:lvlJc w:val="left"/>
      <w:pPr>
        <w:ind w:left="720" w:hanging="360"/>
      </w:pPr>
      <w:rPr>
        <w:rFonts w:asciiTheme="minorHAnsi" w:eastAsiaTheme="minorHAnsi" w:hAnsiTheme="minorHAnsi" w:cstheme="minorBidi"/>
      </w:rPr>
    </w:lvl>
    <w:lvl w:ilvl="1" w:tplc="E7D0D004">
      <w:start w:val="1"/>
      <w:numFmt w:val="lowerLetter"/>
      <w:lvlText w:val="%2."/>
      <w:lvlJc w:val="left"/>
      <w:pPr>
        <w:ind w:left="1440" w:hanging="360"/>
      </w:pPr>
    </w:lvl>
    <w:lvl w:ilvl="2" w:tplc="C228FA40">
      <w:start w:val="1"/>
      <w:numFmt w:val="lowerRoman"/>
      <w:lvlText w:val="%3."/>
      <w:lvlJc w:val="right"/>
      <w:pPr>
        <w:ind w:left="2160" w:hanging="180"/>
      </w:pPr>
    </w:lvl>
    <w:lvl w:ilvl="3" w:tplc="08D4F2F2">
      <w:start w:val="1"/>
      <w:numFmt w:val="decimal"/>
      <w:lvlText w:val="%4."/>
      <w:lvlJc w:val="left"/>
      <w:pPr>
        <w:ind w:left="2880" w:hanging="360"/>
      </w:pPr>
    </w:lvl>
    <w:lvl w:ilvl="4" w:tplc="DE504BDE">
      <w:start w:val="1"/>
      <w:numFmt w:val="lowerLetter"/>
      <w:lvlText w:val="%5."/>
      <w:lvlJc w:val="left"/>
      <w:pPr>
        <w:ind w:left="3600" w:hanging="360"/>
      </w:pPr>
    </w:lvl>
    <w:lvl w:ilvl="5" w:tplc="DA88548C">
      <w:start w:val="1"/>
      <w:numFmt w:val="lowerRoman"/>
      <w:lvlText w:val="%6."/>
      <w:lvlJc w:val="right"/>
      <w:pPr>
        <w:ind w:left="4320" w:hanging="180"/>
      </w:pPr>
    </w:lvl>
    <w:lvl w:ilvl="6" w:tplc="EB54768C">
      <w:start w:val="1"/>
      <w:numFmt w:val="decimal"/>
      <w:lvlText w:val="%7."/>
      <w:lvlJc w:val="left"/>
      <w:pPr>
        <w:ind w:left="5040" w:hanging="360"/>
      </w:pPr>
    </w:lvl>
    <w:lvl w:ilvl="7" w:tplc="46A481B0">
      <w:start w:val="1"/>
      <w:numFmt w:val="lowerLetter"/>
      <w:lvlText w:val="%8."/>
      <w:lvlJc w:val="left"/>
      <w:pPr>
        <w:ind w:left="5760" w:hanging="360"/>
      </w:pPr>
    </w:lvl>
    <w:lvl w:ilvl="8" w:tplc="D52ED610">
      <w:start w:val="1"/>
      <w:numFmt w:val="lowerRoman"/>
      <w:lvlText w:val="%9."/>
      <w:lvlJc w:val="right"/>
      <w:pPr>
        <w:ind w:left="6480" w:hanging="180"/>
      </w:pPr>
    </w:lvl>
  </w:abstractNum>
  <w:num w:numId="1" w16cid:durableId="622659270">
    <w:abstractNumId w:val="2"/>
  </w:num>
  <w:num w:numId="2" w16cid:durableId="1339036345">
    <w:abstractNumId w:val="0"/>
  </w:num>
  <w:num w:numId="3" w16cid:durableId="1050034090">
    <w:abstractNumId w:val="3"/>
  </w:num>
  <w:num w:numId="4" w16cid:durableId="450637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541"/>
    <w:rsid w:val="00242BEB"/>
    <w:rsid w:val="00975541"/>
    <w:rsid w:val="00EE4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EA2E"/>
  <w15:docId w15:val="{E0BCAEE0-C871-CE41-98A0-0C00C170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50.png"/><Relationship Id="rId5" Type="http://schemas.openxmlformats.org/officeDocument/2006/relationships/image" Target="media/image5.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3</cp:revision>
  <dcterms:created xsi:type="dcterms:W3CDTF">2021-10-14T14:08:00Z</dcterms:created>
  <dcterms:modified xsi:type="dcterms:W3CDTF">2022-06-07T17:23:00Z</dcterms:modified>
</cp:coreProperties>
</file>